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29B4" w14:textId="77777777" w:rsidR="00D01AEF" w:rsidRDefault="001E1DD9" w:rsidP="001E1DD9">
      <w:pPr>
        <w:spacing w:after="0"/>
      </w:pPr>
      <w:r>
        <w:t>Curriculum Map:  English</w:t>
      </w:r>
    </w:p>
    <w:p w14:paraId="13D9C0D9" w14:textId="77777777" w:rsidR="001E1DD9" w:rsidRDefault="001E1DD9" w:rsidP="001E1DD9">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E1DD9" w14:paraId="73312D66" w14:textId="77777777" w:rsidTr="006D4942">
        <w:trPr>
          <w:trHeight w:val="396"/>
        </w:trPr>
        <w:tc>
          <w:tcPr>
            <w:tcW w:w="2324" w:type="dxa"/>
            <w:shd w:val="clear" w:color="auto" w:fill="FF0000"/>
            <w:vAlign w:val="center"/>
          </w:tcPr>
          <w:p w14:paraId="23C8123C" w14:textId="77777777" w:rsidR="001E1DD9" w:rsidRPr="006D4942" w:rsidRDefault="001E1DD9" w:rsidP="001E1DD9">
            <w:pPr>
              <w:jc w:val="center"/>
              <w:rPr>
                <w:b/>
                <w:color w:val="FFFFFF" w:themeColor="background1"/>
              </w:rPr>
            </w:pPr>
            <w:r w:rsidRPr="006D4942">
              <w:rPr>
                <w:b/>
                <w:color w:val="FFFFFF" w:themeColor="background1"/>
              </w:rPr>
              <w:t>Term 1</w:t>
            </w:r>
          </w:p>
        </w:tc>
        <w:tc>
          <w:tcPr>
            <w:tcW w:w="2324" w:type="dxa"/>
            <w:shd w:val="clear" w:color="auto" w:fill="FF0000"/>
            <w:vAlign w:val="center"/>
          </w:tcPr>
          <w:p w14:paraId="4D7053A0" w14:textId="77777777" w:rsidR="001E1DD9" w:rsidRPr="006D4942" w:rsidRDefault="001E1DD9" w:rsidP="001E1DD9">
            <w:pPr>
              <w:jc w:val="center"/>
              <w:rPr>
                <w:b/>
                <w:color w:val="FFFFFF" w:themeColor="background1"/>
              </w:rPr>
            </w:pPr>
            <w:r w:rsidRPr="006D4942">
              <w:rPr>
                <w:b/>
                <w:color w:val="FFFFFF" w:themeColor="background1"/>
              </w:rPr>
              <w:t>Term 2</w:t>
            </w:r>
          </w:p>
        </w:tc>
        <w:tc>
          <w:tcPr>
            <w:tcW w:w="2325" w:type="dxa"/>
            <w:shd w:val="clear" w:color="auto" w:fill="FF0000"/>
            <w:vAlign w:val="center"/>
          </w:tcPr>
          <w:p w14:paraId="6944F412" w14:textId="77777777" w:rsidR="001E1DD9" w:rsidRPr="006D4942" w:rsidRDefault="001E1DD9" w:rsidP="001E1DD9">
            <w:pPr>
              <w:jc w:val="center"/>
              <w:rPr>
                <w:b/>
                <w:color w:val="FFFFFF" w:themeColor="background1"/>
              </w:rPr>
            </w:pPr>
            <w:r w:rsidRPr="006D4942">
              <w:rPr>
                <w:b/>
                <w:color w:val="FFFFFF" w:themeColor="background1"/>
              </w:rPr>
              <w:t>Term 3</w:t>
            </w:r>
          </w:p>
        </w:tc>
        <w:tc>
          <w:tcPr>
            <w:tcW w:w="2325" w:type="dxa"/>
            <w:shd w:val="clear" w:color="auto" w:fill="FF0000"/>
            <w:vAlign w:val="center"/>
          </w:tcPr>
          <w:p w14:paraId="1554334E" w14:textId="77777777" w:rsidR="001E1DD9" w:rsidRPr="006D4942" w:rsidRDefault="001E1DD9" w:rsidP="001E1DD9">
            <w:pPr>
              <w:jc w:val="center"/>
              <w:rPr>
                <w:b/>
                <w:color w:val="FFFFFF" w:themeColor="background1"/>
              </w:rPr>
            </w:pPr>
            <w:r w:rsidRPr="006D4942">
              <w:rPr>
                <w:b/>
                <w:color w:val="FFFFFF" w:themeColor="background1"/>
              </w:rPr>
              <w:t>Term 4</w:t>
            </w:r>
          </w:p>
        </w:tc>
        <w:tc>
          <w:tcPr>
            <w:tcW w:w="2325" w:type="dxa"/>
            <w:shd w:val="clear" w:color="auto" w:fill="FF0000"/>
            <w:vAlign w:val="center"/>
          </w:tcPr>
          <w:p w14:paraId="5A40E5DD" w14:textId="77777777" w:rsidR="001E1DD9" w:rsidRPr="006D4942" w:rsidRDefault="001E1DD9" w:rsidP="001E1DD9">
            <w:pPr>
              <w:jc w:val="center"/>
              <w:rPr>
                <w:b/>
                <w:color w:val="FFFFFF" w:themeColor="background1"/>
              </w:rPr>
            </w:pPr>
            <w:r w:rsidRPr="006D4942">
              <w:rPr>
                <w:b/>
                <w:color w:val="FFFFFF" w:themeColor="background1"/>
              </w:rPr>
              <w:t>Term 5</w:t>
            </w:r>
          </w:p>
        </w:tc>
        <w:tc>
          <w:tcPr>
            <w:tcW w:w="2325" w:type="dxa"/>
            <w:shd w:val="clear" w:color="auto" w:fill="FF0000"/>
            <w:vAlign w:val="center"/>
          </w:tcPr>
          <w:p w14:paraId="06BF47C6" w14:textId="77777777" w:rsidR="001E1DD9" w:rsidRPr="006D4942" w:rsidRDefault="001E1DD9" w:rsidP="001E1DD9">
            <w:pPr>
              <w:jc w:val="center"/>
              <w:rPr>
                <w:b/>
                <w:color w:val="FFFFFF" w:themeColor="background1"/>
              </w:rPr>
            </w:pPr>
            <w:r w:rsidRPr="006D4942">
              <w:rPr>
                <w:b/>
                <w:color w:val="FFFFFF" w:themeColor="background1"/>
              </w:rPr>
              <w:t>Term 6</w:t>
            </w:r>
          </w:p>
        </w:tc>
      </w:tr>
      <w:tr w:rsidR="001E1DD9" w14:paraId="26E6EB15" w14:textId="77777777" w:rsidTr="00B27876">
        <w:trPr>
          <w:trHeight w:val="855"/>
        </w:trPr>
        <w:tc>
          <w:tcPr>
            <w:tcW w:w="2324" w:type="dxa"/>
          </w:tcPr>
          <w:p w14:paraId="40A7A448" w14:textId="53067D73" w:rsidR="001E1DD9" w:rsidRPr="006D4942" w:rsidRDefault="005E623C" w:rsidP="001E1DD9">
            <w:pPr>
              <w:rPr>
                <w:b/>
                <w:bCs/>
                <w:color w:val="FF0000"/>
              </w:rPr>
            </w:pPr>
            <w:r w:rsidRPr="006D4942">
              <w:rPr>
                <w:b/>
                <w:bCs/>
                <w:color w:val="FF0000"/>
              </w:rPr>
              <w:t>‘Cirque du Freak’</w:t>
            </w:r>
            <w:r w:rsidR="0051114F" w:rsidRPr="006D4942">
              <w:rPr>
                <w:b/>
                <w:bCs/>
                <w:color w:val="FF0000"/>
              </w:rPr>
              <w:t xml:space="preserve"> by Darren Shan- exploring the gothic genre.</w:t>
            </w:r>
          </w:p>
        </w:tc>
        <w:tc>
          <w:tcPr>
            <w:tcW w:w="2324" w:type="dxa"/>
          </w:tcPr>
          <w:p w14:paraId="7A562C4E" w14:textId="35629245" w:rsidR="001E1DD9" w:rsidRPr="006D4942" w:rsidRDefault="003D2C26" w:rsidP="001E1DD9">
            <w:pPr>
              <w:rPr>
                <w:b/>
                <w:bCs/>
                <w:color w:val="FF0000"/>
              </w:rPr>
            </w:pPr>
            <w:r w:rsidRPr="006D4942">
              <w:rPr>
                <w:b/>
                <w:bCs/>
                <w:color w:val="FF0000"/>
              </w:rPr>
              <w:t>Writing a Gothic Narrative</w:t>
            </w:r>
          </w:p>
        </w:tc>
        <w:tc>
          <w:tcPr>
            <w:tcW w:w="2325" w:type="dxa"/>
          </w:tcPr>
          <w:p w14:paraId="56EE977B" w14:textId="4525668C" w:rsidR="001E1DD9" w:rsidRPr="006D4942" w:rsidRDefault="00F919EF" w:rsidP="00F919EF">
            <w:pPr>
              <w:rPr>
                <w:b/>
                <w:bCs/>
                <w:color w:val="FF0000"/>
              </w:rPr>
            </w:pPr>
            <w:r w:rsidRPr="006D4942">
              <w:rPr>
                <w:b/>
                <w:bCs/>
                <w:color w:val="FF0000"/>
              </w:rPr>
              <w:t xml:space="preserve">‘I am Malala’ by Malala Yousafzai- </w:t>
            </w:r>
          </w:p>
        </w:tc>
        <w:tc>
          <w:tcPr>
            <w:tcW w:w="2325" w:type="dxa"/>
          </w:tcPr>
          <w:p w14:paraId="1A36404C" w14:textId="680E921B" w:rsidR="001E1DD9" w:rsidRPr="006D4942" w:rsidRDefault="003D2C26" w:rsidP="001E1DD9">
            <w:pPr>
              <w:rPr>
                <w:b/>
                <w:bCs/>
                <w:color w:val="FF0000"/>
              </w:rPr>
            </w:pPr>
            <w:r w:rsidRPr="006D4942">
              <w:rPr>
                <w:b/>
                <w:bCs/>
                <w:color w:val="FF0000"/>
              </w:rPr>
              <w:t>Writing a Letter</w:t>
            </w:r>
          </w:p>
        </w:tc>
        <w:tc>
          <w:tcPr>
            <w:tcW w:w="2325" w:type="dxa"/>
          </w:tcPr>
          <w:p w14:paraId="2E4D6BB1" w14:textId="700484C6" w:rsidR="001E1DD9" w:rsidRPr="006D4942" w:rsidRDefault="00985538" w:rsidP="001E1DD9">
            <w:pPr>
              <w:rPr>
                <w:b/>
                <w:bCs/>
                <w:color w:val="FF0000"/>
              </w:rPr>
            </w:pPr>
            <w:r w:rsidRPr="006D4942">
              <w:rPr>
                <w:b/>
                <w:bCs/>
                <w:color w:val="FF0000"/>
              </w:rPr>
              <w:t>‘Romeo and Juliet’</w:t>
            </w:r>
            <w:r w:rsidR="00F919EF" w:rsidRPr="006D4942">
              <w:rPr>
                <w:b/>
                <w:bCs/>
                <w:color w:val="FF0000"/>
              </w:rPr>
              <w:t xml:space="preserve"> by William Shakespeare- exploring tragedy and modern non-fiction.</w:t>
            </w:r>
          </w:p>
        </w:tc>
        <w:tc>
          <w:tcPr>
            <w:tcW w:w="2325" w:type="dxa"/>
          </w:tcPr>
          <w:p w14:paraId="6B293519" w14:textId="3A00206D" w:rsidR="001E1DD9" w:rsidRPr="006D4942" w:rsidRDefault="003D2C26" w:rsidP="001E1DD9">
            <w:pPr>
              <w:rPr>
                <w:b/>
                <w:bCs/>
                <w:color w:val="FF0000"/>
              </w:rPr>
            </w:pPr>
            <w:r w:rsidRPr="006D4942">
              <w:rPr>
                <w:b/>
                <w:bCs/>
                <w:color w:val="FF0000"/>
              </w:rPr>
              <w:t>Speeches</w:t>
            </w:r>
          </w:p>
        </w:tc>
      </w:tr>
      <w:tr w:rsidR="001E1DD9" w14:paraId="2F259128" w14:textId="77777777" w:rsidTr="001E1DD9">
        <w:trPr>
          <w:trHeight w:val="4656"/>
        </w:trPr>
        <w:tc>
          <w:tcPr>
            <w:tcW w:w="2324" w:type="dxa"/>
          </w:tcPr>
          <w:p w14:paraId="2B856E92" w14:textId="7A6BFC18" w:rsidR="001E1DD9" w:rsidRDefault="005E623C" w:rsidP="001E1DD9">
            <w:r w:rsidRPr="005E623C">
              <w:t xml:space="preserve">Students will </w:t>
            </w:r>
            <w:r w:rsidR="0051114F">
              <w:t xml:space="preserve">explore the Gothic conventions within the text </w:t>
            </w:r>
            <w:r w:rsidRPr="005E623C">
              <w:t>to develop their knowledge of the genre</w:t>
            </w:r>
            <w:r w:rsidR="0051114F">
              <w:t xml:space="preserve">. In addition, students will analyse the way that the writer pieces together a narrative; they will </w:t>
            </w:r>
            <w:r w:rsidRPr="005E623C">
              <w:t>be able to</w:t>
            </w:r>
            <w:r w:rsidR="0051114F">
              <w:t xml:space="preserve"> analyse the writer’s methods and</w:t>
            </w:r>
            <w:r w:rsidRPr="005E623C">
              <w:t xml:space="preserve"> craft</w:t>
            </w:r>
            <w:r w:rsidR="0051114F">
              <w:t xml:space="preserve"> their own</w:t>
            </w:r>
            <w:r w:rsidRPr="005E623C">
              <w:t xml:space="preserve"> analytical responses.</w:t>
            </w:r>
          </w:p>
          <w:p w14:paraId="5A56A7F7" w14:textId="77777777" w:rsidR="0051114F" w:rsidRDefault="0051114F" w:rsidP="001E1DD9"/>
          <w:p w14:paraId="03D546CB" w14:textId="66B92F64" w:rsidR="0051114F" w:rsidRPr="005E623C" w:rsidRDefault="0051114F" w:rsidP="001E1DD9"/>
        </w:tc>
        <w:tc>
          <w:tcPr>
            <w:tcW w:w="2324" w:type="dxa"/>
          </w:tcPr>
          <w:p w14:paraId="28099C22" w14:textId="1FA63E8E" w:rsidR="001E1DD9" w:rsidRDefault="0051114F" w:rsidP="001E1DD9">
            <w:r>
              <w:t>Students will apply their understanding of the Gothic genre, Gothic conventions and writer’s methods to their own narrative writing. They will develop their understanding of how to structure a narrative, develop characterisation and use literary techniques to enhance their own writing.</w:t>
            </w:r>
          </w:p>
        </w:tc>
        <w:tc>
          <w:tcPr>
            <w:tcW w:w="2325" w:type="dxa"/>
          </w:tcPr>
          <w:p w14:paraId="13B79BA5" w14:textId="762F02A6" w:rsidR="001E1DD9" w:rsidRDefault="00D95885" w:rsidP="001E1DD9">
            <w:r>
              <w:t xml:space="preserve">Students will explore the conventions of a non-fiction in the form of an auto-biographical book. Students will analyse the writer’s methods and themes presented within this text. </w:t>
            </w:r>
          </w:p>
        </w:tc>
        <w:tc>
          <w:tcPr>
            <w:tcW w:w="2325" w:type="dxa"/>
          </w:tcPr>
          <w:p w14:paraId="05DAD3E0" w14:textId="7972B6CB" w:rsidR="001E1DD9" w:rsidRDefault="00890083" w:rsidP="001E1DD9">
            <w:r>
              <w:t>Students will explore real life links across the world and use this as a stimulus to express their own opinions on a topic of their choice. Students will explore writer’s methods in the format of letters and then use this understanding to craft their own. Furthermore, students will continue to develop their understanding of the editing process when crafting a piece of writing.</w:t>
            </w:r>
          </w:p>
        </w:tc>
        <w:tc>
          <w:tcPr>
            <w:tcW w:w="2325" w:type="dxa"/>
          </w:tcPr>
          <w:p w14:paraId="36FEDE11" w14:textId="62921B23" w:rsidR="001E1DD9" w:rsidRDefault="00F919EF" w:rsidP="001E1DD9">
            <w:r>
              <w:t>Students will begin this half term by exploring the context of the Shakespearean era. They will explore the conventions of a play, alongside various non-fiction texts which cover similar themes in order to show the relevance of Shakespeare in today’s world.</w:t>
            </w:r>
          </w:p>
        </w:tc>
        <w:tc>
          <w:tcPr>
            <w:tcW w:w="2325" w:type="dxa"/>
          </w:tcPr>
          <w:p w14:paraId="6A99F3A9" w14:textId="0404ED80" w:rsidR="001E1DD9" w:rsidRDefault="00256583" w:rsidP="001E1DD9">
            <w:r>
              <w:t xml:space="preserve">This half term, students will demonstrate their speaking and listening abilities through the form of non-fiction writing. They will explore the purpose of a speech and the format of transactional writing. Furthermore, students will continue to use their understanding of how writer’s methods have been used across all texts studied this year to craft rhetorical techniques, and articulate their own views. </w:t>
            </w:r>
          </w:p>
        </w:tc>
      </w:tr>
    </w:tbl>
    <w:p w14:paraId="4F3E818C" w14:textId="77777777" w:rsidR="001E1DD9" w:rsidRDefault="001E1DD9" w:rsidP="001E1DD9">
      <w:pPr>
        <w:spacing w:after="0"/>
      </w:pPr>
    </w:p>
    <w:p w14:paraId="2BFCC5C8" w14:textId="77777777" w:rsidR="001E1DD9" w:rsidRDefault="001E1DD9" w:rsidP="001E1DD9">
      <w:pPr>
        <w:spacing w:after="0"/>
      </w:pPr>
    </w:p>
    <w:sectPr w:rsidR="001E1DD9" w:rsidSect="001E1D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9"/>
    <w:rsid w:val="001E1DD9"/>
    <w:rsid w:val="00256583"/>
    <w:rsid w:val="003D2C26"/>
    <w:rsid w:val="0051114F"/>
    <w:rsid w:val="00533207"/>
    <w:rsid w:val="005E623C"/>
    <w:rsid w:val="006D4942"/>
    <w:rsid w:val="00890083"/>
    <w:rsid w:val="00985538"/>
    <w:rsid w:val="00AE41C6"/>
    <w:rsid w:val="00B27876"/>
    <w:rsid w:val="00D01AEF"/>
    <w:rsid w:val="00D95885"/>
    <w:rsid w:val="00F9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412B"/>
  <w15:chartTrackingRefBased/>
  <w15:docId w15:val="{8B7452F6-147D-47B1-AEF9-718A0C2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1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357119C4366D4498051FA526809D21" ma:contentTypeVersion="11" ma:contentTypeDescription="Create a new document." ma:contentTypeScope="" ma:versionID="53557191df9db7df7cb42c048db900fc">
  <xsd:schema xmlns:xsd="http://www.w3.org/2001/XMLSchema" xmlns:xs="http://www.w3.org/2001/XMLSchema" xmlns:p="http://schemas.microsoft.com/office/2006/metadata/properties" xmlns:ns3="11f88973-02dc-4d52-ae89-c0805f4b7454" xmlns:ns4="39e35c5f-9713-4614-be30-afdc2f69f6ce" targetNamespace="http://schemas.microsoft.com/office/2006/metadata/properties" ma:root="true" ma:fieldsID="40a327f9ea8c859322bb614e1ad5b01b" ns3:_="" ns4:_="">
    <xsd:import namespace="11f88973-02dc-4d52-ae89-c0805f4b7454"/>
    <xsd:import namespace="39e35c5f-9713-4614-be30-afdc2f69f6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88973-02dc-4d52-ae89-c0805f4b7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e35c5f-9713-4614-be30-afdc2f69f6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B648C8-E09C-44FE-8B86-35A4183BF7BE}">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purl.org/dc/terms/"/>
    <ds:schemaRef ds:uri="11f88973-02dc-4d52-ae89-c0805f4b7454"/>
    <ds:schemaRef ds:uri="39e35c5f-9713-4614-be30-afdc2f69f6ce"/>
    <ds:schemaRef ds:uri="http://schemas.openxmlformats.org/package/2006/metadata/core-properties"/>
  </ds:schemaRefs>
</ds:datastoreItem>
</file>

<file path=customXml/itemProps2.xml><?xml version="1.0" encoding="utf-8"?>
<ds:datastoreItem xmlns:ds="http://schemas.openxmlformats.org/officeDocument/2006/customXml" ds:itemID="{A4E5B1F1-312B-4D7D-A6F4-0A9408043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88973-02dc-4d52-ae89-c0805f4b7454"/>
    <ds:schemaRef ds:uri="39e35c5f-9713-4614-be30-afdc2f69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3FCCD-7C21-49BF-A208-A8E8B424C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Multi Academy Trust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Gilmore</dc:creator>
  <cp:keywords/>
  <dc:description/>
  <cp:lastModifiedBy>V.Gilmore (Staff, Dearne)</cp:lastModifiedBy>
  <cp:revision>12</cp:revision>
  <dcterms:created xsi:type="dcterms:W3CDTF">2021-10-06T06:22:00Z</dcterms:created>
  <dcterms:modified xsi:type="dcterms:W3CDTF">2021-10-18T19:35:00Z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0x010100B3357119C4366D4498051FA526809D21</vt:lpwstr>
  </property>
</Properties>
</file>